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5E" w:rsidRPr="008C7184" w:rsidRDefault="00FF7D5E" w:rsidP="00FF7D5E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资产评估</w:t>
      </w:r>
      <w:r w:rsidR="008B6326">
        <w:rPr>
          <w:rFonts w:ascii="方正小标宋简体" w:eastAsia="方正小标宋简体" w:hint="eastAsia"/>
          <w:sz w:val="36"/>
          <w:szCs w:val="44"/>
        </w:rPr>
        <w:t>（</w:t>
      </w:r>
      <w:r w:rsidR="008B6326" w:rsidRPr="008B6326">
        <w:rPr>
          <w:rFonts w:ascii="方正小标宋简体" w:eastAsia="方正小标宋简体" w:hint="eastAsia"/>
          <w:sz w:val="36"/>
          <w:szCs w:val="44"/>
        </w:rPr>
        <w:t>评估师</w:t>
      </w:r>
      <w:r w:rsidR="008B6326">
        <w:rPr>
          <w:rFonts w:ascii="方正小标宋简体" w:eastAsia="方正小标宋简体" w:hint="eastAsia"/>
          <w:sz w:val="36"/>
          <w:szCs w:val="44"/>
        </w:rPr>
        <w:t>卓越班）</w:t>
      </w:r>
      <w:r w:rsidR="00B229B6" w:rsidRPr="008C7184">
        <w:rPr>
          <w:rFonts w:ascii="方正小标宋简体" w:eastAsia="方正小标宋简体" w:hint="eastAsia"/>
          <w:sz w:val="36"/>
          <w:szCs w:val="44"/>
        </w:rPr>
        <w:t>专业</w:t>
      </w:r>
      <w:r w:rsidRPr="008C7184">
        <w:rPr>
          <w:rFonts w:ascii="方正小标宋简体" w:eastAsia="方正小标宋简体" w:hint="eastAsia"/>
          <w:sz w:val="36"/>
          <w:szCs w:val="44"/>
        </w:rPr>
        <w:t>本科人才培养方案</w:t>
      </w:r>
    </w:p>
    <w:p w:rsidR="00FF7D5E" w:rsidRPr="00930BEE" w:rsidRDefault="00FF7D5E" w:rsidP="00930BEE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 w:rsidRPr="00930BEE">
        <w:rPr>
          <w:rFonts w:ascii="方正小标宋简体" w:eastAsia="方正小标宋简体" w:hint="eastAsia"/>
          <w:sz w:val="36"/>
          <w:szCs w:val="44"/>
        </w:rPr>
        <w:t>（</w:t>
      </w:r>
      <w:r w:rsidR="00930BEE" w:rsidRPr="00930BEE">
        <w:rPr>
          <w:rFonts w:ascii="方正小标宋简体" w:eastAsia="方正小标宋简体"/>
          <w:sz w:val="36"/>
          <w:szCs w:val="44"/>
        </w:rPr>
        <w:t>专业代码：120208</w:t>
      </w:r>
      <w:r w:rsidRPr="008C7184">
        <w:rPr>
          <w:rFonts w:ascii="方正小标宋简体" w:eastAsia="方正小标宋简体" w:hint="eastAsia"/>
          <w:bCs/>
          <w:sz w:val="36"/>
          <w:szCs w:val="44"/>
        </w:rPr>
        <w:t>）</w:t>
      </w:r>
    </w:p>
    <w:p w:rsidR="009B4254" w:rsidRDefault="009B4254" w:rsidP="009B4254">
      <w:pPr>
        <w:pStyle w:val="a4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:rsidR="009B4254" w:rsidRDefault="009B4254" w:rsidP="0099640B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一、培养目标</w:t>
      </w:r>
    </w:p>
    <w:p w:rsidR="009B4254" w:rsidRDefault="009B6385" w:rsidP="009B425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/>
          <w:sz w:val="24"/>
        </w:rPr>
        <w:t>本专业培养具有正确社会主义核心价值观，</w:t>
      </w:r>
      <w:r w:rsidR="009B4254">
        <w:rPr>
          <w:rFonts w:hint="eastAsia"/>
          <w:bCs/>
          <w:sz w:val="24"/>
        </w:rPr>
        <w:t>具有突出的实务操作能力和创新性思维，具备人文精神和诚信品质，熟练掌握资产评估及相关领域理论和专业技能，可以在资产评估机构、会计师事务所等鉴证类中介机构以及政府资产管理部门、企事业单位、金融机构中从事资产评估及相关工作的复合型、应用型卓越人才。</w:t>
      </w:r>
    </w:p>
    <w:p w:rsidR="009B4254" w:rsidRDefault="009B4254" w:rsidP="0099640B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二、毕业要求</w:t>
      </w:r>
    </w:p>
    <w:p w:rsidR="0002773C" w:rsidRPr="0002773C" w:rsidRDefault="0002773C" w:rsidP="0002773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02773C">
        <w:rPr>
          <w:rFonts w:ascii="宋体" w:hAnsi="宋体"/>
          <w:bCs/>
          <w:kern w:val="0"/>
          <w:sz w:val="24"/>
        </w:rPr>
        <w:t>1．</w:t>
      </w:r>
      <w:r w:rsidRPr="0002773C">
        <w:rPr>
          <w:rFonts w:ascii="宋体" w:hAnsi="宋体" w:hint="eastAsia"/>
          <w:bCs/>
          <w:kern w:val="0"/>
          <w:sz w:val="24"/>
        </w:rPr>
        <w:t>掌握马克思主义、毛泽东思想和中国特色社会主义理论体系；具有良好的思想品德、社会公德、职业道德和个人修养；具有爱岗敬业、遵纪守法和团结合作的品质；具有健康的心理和体魄；具有为国家富强、民族昌盛而奋斗的志向和责任感；</w:t>
      </w:r>
    </w:p>
    <w:p w:rsidR="003A4857" w:rsidRPr="00FF7D5E" w:rsidRDefault="009B6385" w:rsidP="003A485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2.</w:t>
      </w:r>
      <w:r w:rsidR="003A4857" w:rsidRPr="00FF7D5E">
        <w:rPr>
          <w:rFonts w:ascii="宋体" w:hAnsi="宋体" w:hint="eastAsia"/>
          <w:bCs/>
          <w:kern w:val="0"/>
          <w:sz w:val="24"/>
        </w:rPr>
        <w:t>掌握</w:t>
      </w:r>
      <w:r w:rsidR="00D4178A">
        <w:rPr>
          <w:rFonts w:ascii="宋体" w:hAnsi="宋体" w:hint="eastAsia"/>
          <w:bCs/>
          <w:kern w:val="0"/>
          <w:sz w:val="24"/>
        </w:rPr>
        <w:t>管理学</w:t>
      </w:r>
      <w:r w:rsidR="003A4857" w:rsidRPr="00FF7D5E">
        <w:rPr>
          <w:rFonts w:ascii="宋体" w:hAnsi="宋体" w:hint="eastAsia"/>
          <w:bCs/>
          <w:kern w:val="0"/>
          <w:sz w:val="24"/>
        </w:rPr>
        <w:t>学科基础类、</w:t>
      </w:r>
      <w:r w:rsidR="00D4178A">
        <w:rPr>
          <w:rFonts w:ascii="宋体" w:hAnsi="宋体" w:hint="eastAsia"/>
          <w:bCs/>
          <w:kern w:val="0"/>
          <w:sz w:val="24"/>
        </w:rPr>
        <w:t>资产评估及</w:t>
      </w:r>
      <w:r w:rsidR="00D4178A">
        <w:rPr>
          <w:rFonts w:ascii="宋体" w:hAnsi="宋体"/>
          <w:bCs/>
          <w:kern w:val="0"/>
          <w:sz w:val="24"/>
        </w:rPr>
        <w:t>相关领域专业知识</w:t>
      </w:r>
      <w:r w:rsidR="003A4857" w:rsidRPr="00FF7D5E">
        <w:rPr>
          <w:rFonts w:ascii="宋体" w:hAnsi="宋体" w:hint="eastAsia"/>
          <w:bCs/>
          <w:kern w:val="0"/>
          <w:sz w:val="24"/>
        </w:rPr>
        <w:t>，并能</w:t>
      </w:r>
      <w:r w:rsidR="003A4857">
        <w:rPr>
          <w:rFonts w:ascii="宋体" w:hAnsi="宋体" w:hint="eastAsia"/>
          <w:bCs/>
          <w:kern w:val="0"/>
          <w:sz w:val="24"/>
        </w:rPr>
        <w:t>运用</w:t>
      </w:r>
      <w:r w:rsidR="003A4857" w:rsidRPr="00FF7D5E">
        <w:rPr>
          <w:rFonts w:ascii="宋体" w:hAnsi="宋体" w:hint="eastAsia"/>
          <w:bCs/>
          <w:kern w:val="0"/>
          <w:sz w:val="24"/>
        </w:rPr>
        <w:t>所学知识解释</w:t>
      </w:r>
      <w:r w:rsidR="003A4857">
        <w:rPr>
          <w:rFonts w:ascii="宋体" w:hAnsi="宋体" w:hint="eastAsia"/>
          <w:bCs/>
          <w:kern w:val="0"/>
          <w:sz w:val="24"/>
        </w:rPr>
        <w:t>、分析资产评估</w:t>
      </w:r>
      <w:r w:rsidR="003A4857" w:rsidRPr="00FF7D5E">
        <w:rPr>
          <w:rFonts w:ascii="宋体" w:hAnsi="宋体" w:hint="eastAsia"/>
          <w:bCs/>
          <w:kern w:val="0"/>
          <w:sz w:val="24"/>
        </w:rPr>
        <w:t>及相关领域的现象和问题；</w:t>
      </w:r>
    </w:p>
    <w:p w:rsidR="003A4857" w:rsidRPr="00FF7D5E" w:rsidRDefault="009B6385" w:rsidP="003A485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3.</w:t>
      </w:r>
      <w:r w:rsidR="003A4857" w:rsidRPr="00FF7D5E">
        <w:rPr>
          <w:rFonts w:ascii="宋体" w:hAnsi="宋体" w:hint="eastAsia"/>
          <w:bCs/>
          <w:kern w:val="0"/>
          <w:sz w:val="24"/>
        </w:rPr>
        <w:t>能够应用</w:t>
      </w:r>
      <w:r w:rsidR="003A4857">
        <w:rPr>
          <w:rFonts w:ascii="宋体" w:hAnsi="宋体" w:hint="eastAsia"/>
          <w:bCs/>
          <w:kern w:val="0"/>
          <w:sz w:val="24"/>
        </w:rPr>
        <w:t>资产评估</w:t>
      </w:r>
      <w:r w:rsidR="003A4857" w:rsidRPr="00FF7D5E">
        <w:rPr>
          <w:rFonts w:ascii="宋体" w:hAnsi="宋体" w:hint="eastAsia"/>
          <w:bCs/>
          <w:kern w:val="0"/>
          <w:sz w:val="24"/>
        </w:rPr>
        <w:t>基本原理、方法对</w:t>
      </w:r>
      <w:r w:rsidR="003A4857">
        <w:rPr>
          <w:rFonts w:ascii="宋体" w:hAnsi="宋体" w:hint="eastAsia"/>
          <w:bCs/>
          <w:kern w:val="0"/>
          <w:sz w:val="24"/>
        </w:rPr>
        <w:t>资产评估</w:t>
      </w:r>
      <w:r w:rsidR="003A4857" w:rsidRPr="00FF7D5E">
        <w:rPr>
          <w:rFonts w:ascii="宋体" w:hAnsi="宋体" w:hint="eastAsia"/>
          <w:bCs/>
          <w:kern w:val="0"/>
          <w:sz w:val="24"/>
        </w:rPr>
        <w:t>及相关领域问题进行判断、分析和研究，提出相应对策和建议，并形成解决方案；</w:t>
      </w:r>
    </w:p>
    <w:p w:rsidR="003A4857" w:rsidRPr="00FF7D5E" w:rsidRDefault="009B6385" w:rsidP="003A485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4.</w:t>
      </w:r>
      <w:r w:rsidR="00456C0E">
        <w:rPr>
          <w:rFonts w:ascii="宋体" w:hAnsi="宋体" w:hint="eastAsia"/>
          <w:bCs/>
          <w:kern w:val="0"/>
          <w:sz w:val="24"/>
        </w:rPr>
        <w:t>了解资产评估领域</w:t>
      </w:r>
      <w:r w:rsidR="00456C0E" w:rsidRPr="004A7AC8">
        <w:rPr>
          <w:rFonts w:ascii="宋体" w:hAnsi="宋体" w:hint="eastAsia"/>
          <w:bCs/>
          <w:kern w:val="0"/>
          <w:sz w:val="24"/>
        </w:rPr>
        <w:t>发展前沿，</w:t>
      </w:r>
      <w:r w:rsidR="00456C0E">
        <w:rPr>
          <w:rFonts w:ascii="宋体" w:hAnsi="宋体" w:hint="eastAsia"/>
          <w:bCs/>
          <w:kern w:val="0"/>
          <w:sz w:val="24"/>
        </w:rPr>
        <w:t>动手能力强，操作能力强，能够迅速适应用人单位需要；</w:t>
      </w:r>
    </w:p>
    <w:p w:rsidR="003A4857" w:rsidRPr="00FF7D5E" w:rsidRDefault="009B6385" w:rsidP="003A485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5.</w:t>
      </w:r>
      <w:r w:rsidR="00456C0E">
        <w:rPr>
          <w:rFonts w:ascii="宋体" w:hAnsi="宋体" w:hint="eastAsia"/>
          <w:bCs/>
          <w:kern w:val="0"/>
          <w:sz w:val="24"/>
        </w:rPr>
        <w:t>适应互联网+背景，</w:t>
      </w:r>
      <w:r w:rsidR="00456C0E" w:rsidRPr="00FF7D5E">
        <w:rPr>
          <w:rFonts w:ascii="宋体" w:hAnsi="宋体" w:hint="eastAsia"/>
          <w:bCs/>
          <w:kern w:val="0"/>
          <w:sz w:val="24"/>
        </w:rPr>
        <w:t>能够恰当</w:t>
      </w:r>
      <w:r w:rsidR="00456C0E">
        <w:rPr>
          <w:rFonts w:ascii="宋体" w:hAnsi="宋体" w:hint="eastAsia"/>
          <w:bCs/>
          <w:kern w:val="0"/>
          <w:sz w:val="24"/>
        </w:rPr>
        <w:t>选择与</w:t>
      </w:r>
      <w:r w:rsidR="00456C0E" w:rsidRPr="00FF7D5E">
        <w:rPr>
          <w:rFonts w:ascii="宋体" w:hAnsi="宋体" w:hint="eastAsia"/>
          <w:bCs/>
          <w:kern w:val="0"/>
          <w:sz w:val="24"/>
        </w:rPr>
        <w:t>使用现代工具</w:t>
      </w:r>
      <w:r w:rsidR="00456C0E">
        <w:rPr>
          <w:rFonts w:ascii="宋体" w:hAnsi="宋体" w:hint="eastAsia"/>
          <w:bCs/>
          <w:kern w:val="0"/>
          <w:sz w:val="24"/>
        </w:rPr>
        <w:t>对资产评估</w:t>
      </w:r>
      <w:r w:rsidR="00456C0E" w:rsidRPr="00FF7D5E">
        <w:rPr>
          <w:rFonts w:ascii="宋体" w:hAnsi="宋体" w:hint="eastAsia"/>
          <w:bCs/>
          <w:kern w:val="0"/>
          <w:sz w:val="24"/>
        </w:rPr>
        <w:t>领域数据信息进行</w:t>
      </w:r>
      <w:r w:rsidR="0002773C">
        <w:rPr>
          <w:rFonts w:ascii="宋体" w:hAnsi="宋体" w:hint="eastAsia"/>
          <w:bCs/>
          <w:kern w:val="0"/>
          <w:sz w:val="24"/>
        </w:rPr>
        <w:t>信息和数据的搜集和分析工作</w:t>
      </w:r>
      <w:r w:rsidR="00456C0E" w:rsidRPr="00FF7D5E">
        <w:rPr>
          <w:rFonts w:ascii="宋体" w:hAnsi="宋体" w:hint="eastAsia"/>
          <w:bCs/>
          <w:kern w:val="0"/>
          <w:sz w:val="24"/>
        </w:rPr>
        <w:t>，完成所从事的专业任务；</w:t>
      </w:r>
    </w:p>
    <w:p w:rsidR="003A4857" w:rsidRPr="00FF7D5E" w:rsidRDefault="009B6385" w:rsidP="003A485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6.</w:t>
      </w:r>
      <w:r w:rsidR="003A4857" w:rsidRPr="00FF7D5E">
        <w:rPr>
          <w:rFonts w:ascii="宋体" w:hAnsi="宋体" w:hint="eastAsia"/>
          <w:bCs/>
          <w:kern w:val="0"/>
          <w:sz w:val="24"/>
        </w:rPr>
        <w:t>具有团队协作意识，能够在</w:t>
      </w:r>
      <w:r w:rsidR="003A4857">
        <w:rPr>
          <w:rFonts w:ascii="宋体" w:hAnsi="宋体" w:hint="eastAsia"/>
          <w:bCs/>
          <w:kern w:val="0"/>
          <w:sz w:val="24"/>
        </w:rPr>
        <w:t>资产评估</w:t>
      </w:r>
      <w:r w:rsidR="00456C0E">
        <w:rPr>
          <w:rFonts w:ascii="宋体" w:hAnsi="宋体" w:hint="eastAsia"/>
          <w:bCs/>
          <w:kern w:val="0"/>
          <w:sz w:val="24"/>
        </w:rPr>
        <w:t>领域的</w:t>
      </w:r>
      <w:r w:rsidR="003A4857" w:rsidRPr="00FF7D5E">
        <w:rPr>
          <w:rFonts w:ascii="宋体" w:hAnsi="宋体" w:hint="eastAsia"/>
          <w:bCs/>
          <w:kern w:val="0"/>
          <w:sz w:val="24"/>
        </w:rPr>
        <w:t>团队活动中发挥个人能力，并能与其他成员进行</w:t>
      </w:r>
      <w:r w:rsidR="003A4857">
        <w:rPr>
          <w:rFonts w:ascii="宋体" w:hAnsi="宋体" w:hint="eastAsia"/>
          <w:bCs/>
          <w:kern w:val="0"/>
          <w:sz w:val="24"/>
        </w:rPr>
        <w:t>有效沟通与</w:t>
      </w:r>
      <w:r w:rsidR="003A4857" w:rsidRPr="00FF7D5E">
        <w:rPr>
          <w:rFonts w:ascii="宋体" w:hAnsi="宋体" w:hint="eastAsia"/>
          <w:bCs/>
          <w:kern w:val="0"/>
          <w:sz w:val="24"/>
        </w:rPr>
        <w:t>协调合作；</w:t>
      </w:r>
    </w:p>
    <w:p w:rsidR="003A4857" w:rsidRPr="00FF7D5E" w:rsidRDefault="009B6385" w:rsidP="003A485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7.</w:t>
      </w:r>
      <w:r w:rsidR="003A4857" w:rsidRPr="00FF7D5E">
        <w:rPr>
          <w:rFonts w:ascii="宋体" w:hAnsi="宋体" w:hint="eastAsia"/>
          <w:bCs/>
          <w:kern w:val="0"/>
          <w:sz w:val="24"/>
        </w:rPr>
        <w:t>具有自主学习和终身学习意识，有创业创新能力及不断学习与适应发展的能力；</w:t>
      </w:r>
    </w:p>
    <w:p w:rsidR="003A4857" w:rsidRDefault="009B6385" w:rsidP="003A485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8.</w:t>
      </w:r>
      <w:r w:rsidR="003A4857" w:rsidRPr="00FF7D5E">
        <w:rPr>
          <w:rFonts w:ascii="宋体" w:hAnsi="宋体" w:hint="eastAsia"/>
          <w:bCs/>
          <w:kern w:val="0"/>
          <w:sz w:val="24"/>
        </w:rPr>
        <w:t>具有人文素养、科学精神和社会责任感，熟悉</w:t>
      </w:r>
      <w:r w:rsidR="003A4857">
        <w:rPr>
          <w:rFonts w:ascii="宋体" w:hAnsi="宋体" w:hint="eastAsia"/>
          <w:bCs/>
          <w:kern w:val="0"/>
          <w:sz w:val="24"/>
        </w:rPr>
        <w:t>资产评估</w:t>
      </w:r>
      <w:r w:rsidR="003A4857" w:rsidRPr="00FF7D5E">
        <w:rPr>
          <w:rFonts w:ascii="宋体" w:hAnsi="宋体" w:hint="eastAsia"/>
          <w:bCs/>
          <w:kern w:val="0"/>
          <w:sz w:val="24"/>
        </w:rPr>
        <w:t>领域相关政策及法律、法规，能够在</w:t>
      </w:r>
      <w:r w:rsidR="003A4857">
        <w:rPr>
          <w:rFonts w:ascii="宋体" w:hAnsi="宋体" w:hint="eastAsia"/>
          <w:bCs/>
          <w:kern w:val="0"/>
          <w:sz w:val="24"/>
        </w:rPr>
        <w:t>资产评估</w:t>
      </w:r>
      <w:r w:rsidR="003A4857" w:rsidRPr="00FF7D5E">
        <w:rPr>
          <w:rFonts w:ascii="宋体" w:hAnsi="宋体" w:hint="eastAsia"/>
          <w:bCs/>
          <w:kern w:val="0"/>
          <w:sz w:val="24"/>
        </w:rPr>
        <w:t>实践活动中理解并遵守职业道德和职业规范</w:t>
      </w:r>
      <w:r w:rsidR="003A4857">
        <w:rPr>
          <w:rFonts w:ascii="宋体" w:hAnsi="宋体" w:hint="eastAsia"/>
          <w:bCs/>
          <w:kern w:val="0"/>
          <w:sz w:val="24"/>
        </w:rPr>
        <w:t>并履行责任</w:t>
      </w:r>
      <w:r w:rsidR="003A4857" w:rsidRPr="00FF7D5E">
        <w:rPr>
          <w:rFonts w:ascii="宋体" w:hAnsi="宋体" w:hint="eastAsia"/>
          <w:bCs/>
          <w:kern w:val="0"/>
          <w:sz w:val="24"/>
        </w:rPr>
        <w:t>。</w:t>
      </w:r>
    </w:p>
    <w:p w:rsidR="009B4254" w:rsidRDefault="009B4254" w:rsidP="009B4254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三、培养特色</w:t>
      </w:r>
    </w:p>
    <w:p w:rsidR="009B4254" w:rsidRDefault="009B4254" w:rsidP="00B91572">
      <w:pPr>
        <w:spacing w:line="360" w:lineRule="auto"/>
        <w:ind w:firstLineChars="147" w:firstLine="354"/>
        <w:rPr>
          <w:sz w:val="24"/>
          <w:szCs w:val="28"/>
        </w:rPr>
      </w:pP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．注重实践型卓越人才培养。</w:t>
      </w:r>
      <w:r>
        <w:rPr>
          <w:rFonts w:hint="eastAsia"/>
          <w:bCs/>
          <w:sz w:val="24"/>
        </w:rPr>
        <w:t>注重对学生实践能力和创新能力的培养，实行“四位一体”的实践教学体系，</w:t>
      </w:r>
      <w:r>
        <w:rPr>
          <w:rFonts w:hint="eastAsia"/>
          <w:sz w:val="24"/>
        </w:rPr>
        <w:t>培养“动手能力强、操作能力强，能够迅速适应就业单位需要”的复合型资产评估卓越人才</w:t>
      </w:r>
      <w:r>
        <w:rPr>
          <w:rFonts w:hint="eastAsia"/>
          <w:sz w:val="24"/>
          <w:szCs w:val="28"/>
        </w:rPr>
        <w:t>。</w:t>
      </w:r>
    </w:p>
    <w:p w:rsidR="009B4254" w:rsidRDefault="009B4254" w:rsidP="00B91572">
      <w:pPr>
        <w:spacing w:line="360" w:lineRule="auto"/>
        <w:ind w:firstLineChars="147" w:firstLine="354"/>
        <w:rPr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．实行“内外汇聚、校企联动”。</w:t>
      </w:r>
      <w:r>
        <w:rPr>
          <w:rFonts w:hint="eastAsia"/>
          <w:bCs/>
          <w:sz w:val="24"/>
        </w:rPr>
        <w:t>依托</w:t>
      </w:r>
      <w:r>
        <w:rPr>
          <w:bCs/>
          <w:sz w:val="24"/>
        </w:rPr>
        <w:t>30</w:t>
      </w:r>
      <w:r>
        <w:rPr>
          <w:rFonts w:hint="eastAsia"/>
          <w:bCs/>
          <w:sz w:val="24"/>
        </w:rPr>
        <w:t>余家校外实习基地和校内外</w:t>
      </w:r>
      <w:r>
        <w:rPr>
          <w:bCs/>
          <w:sz w:val="24"/>
        </w:rPr>
        <w:t>“</w:t>
      </w:r>
      <w:r>
        <w:rPr>
          <w:rFonts w:hint="eastAsia"/>
          <w:bCs/>
          <w:sz w:val="24"/>
        </w:rPr>
        <w:t>双师型</w:t>
      </w:r>
      <w:r>
        <w:rPr>
          <w:bCs/>
          <w:sz w:val="24"/>
        </w:rPr>
        <w:t>”</w:t>
      </w:r>
      <w:r>
        <w:rPr>
          <w:rFonts w:hint="eastAsia"/>
          <w:bCs/>
          <w:sz w:val="24"/>
        </w:rPr>
        <w:t>师资队伍，构建高水平理论和实践教学平台，校企深度合作培养高水平人才，实现资产评估专业教育与社会需求的“无缝隙”对接。</w:t>
      </w:r>
    </w:p>
    <w:p w:rsidR="009B4254" w:rsidRDefault="009B4254" w:rsidP="009B4254">
      <w:pPr>
        <w:spacing w:line="360" w:lineRule="auto"/>
        <w:ind w:firstLineChars="150" w:firstLine="361"/>
        <w:rPr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．个人成长与专业发展相结合。</w:t>
      </w:r>
      <w:r>
        <w:rPr>
          <w:rFonts w:hint="eastAsia"/>
          <w:sz w:val="24"/>
        </w:rPr>
        <w:t>强化人文精神和诚信品质培养，围绕专业方向开设专业课程群，通过专业式定向培养，</w:t>
      </w:r>
      <w:r>
        <w:rPr>
          <w:rFonts w:hint="eastAsia"/>
          <w:sz w:val="24"/>
          <w:szCs w:val="28"/>
        </w:rPr>
        <w:t>实现个人素养和专业能力发展相结合。</w:t>
      </w:r>
    </w:p>
    <w:p w:rsidR="009B4254" w:rsidRDefault="009B4254" w:rsidP="009B4254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四、核心课程</w:t>
      </w:r>
    </w:p>
    <w:p w:rsidR="009B4254" w:rsidRDefault="009B4254" w:rsidP="009B425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评估学原理、资产定价理论基础（双语）、无形资产评估、企业价值评估、金融资产评估、国际评估准则（双语）、房地产评估（双语）、税基评估、计算机在资产评估中的应用、资产评估专业综合实验、会计学基础、中级财务会计、高级财务会计、财政学、建筑工程评估基础、机电设备评估基础、计量经济学、审计学、经济法、中国税制等。</w:t>
      </w:r>
    </w:p>
    <w:p w:rsidR="009B4254" w:rsidRDefault="009B4254" w:rsidP="009B4254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五、学制和学位</w:t>
      </w:r>
    </w:p>
    <w:p w:rsidR="009B4254" w:rsidRDefault="009B4254" w:rsidP="009B425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本专业基本学制为四年，实行弹性修业年限制度，学生在校修业年限可以提前至三年或延长至六年，修满规定的学分准予毕业。符合学士学位授予条件者，授予管理学学士学位。</w:t>
      </w:r>
    </w:p>
    <w:p w:rsidR="009B4254" w:rsidRDefault="009B4254" w:rsidP="009B4254">
      <w:pPr>
        <w:pStyle w:val="a4"/>
        <w:widowControl/>
        <w:spacing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六、学分一览表</w:t>
      </w:r>
    </w:p>
    <w:p w:rsidR="009B4254" w:rsidRDefault="009B4254" w:rsidP="009B4254">
      <w:pPr>
        <w:pStyle w:val="a4"/>
        <w:widowControl/>
        <w:numPr>
          <w:ilvl w:val="0"/>
          <w:numId w:val="2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总学分一览表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231"/>
        <w:gridCol w:w="1548"/>
        <w:gridCol w:w="728"/>
        <w:gridCol w:w="1538"/>
        <w:gridCol w:w="767"/>
        <w:gridCol w:w="1407"/>
        <w:gridCol w:w="1428"/>
      </w:tblGrid>
      <w:tr w:rsidR="009B4254" w:rsidTr="009B4254">
        <w:trPr>
          <w:trHeight w:val="454"/>
          <w:jc w:val="center"/>
        </w:trPr>
        <w:tc>
          <w:tcPr>
            <w:tcW w:w="123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8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教学方式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理论与实践教学比例（%）</w:t>
            </w:r>
          </w:p>
        </w:tc>
      </w:tr>
      <w:tr w:rsidR="009B4254" w:rsidTr="009B4254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8B632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168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课堂教学环节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8B632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理论教学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  <w:r w:rsidR="008B6326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理论教学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 w:rsidR="008819A8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</w:tr>
      <w:tr w:rsidR="009B4254" w:rsidTr="009B4254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实验教学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 w:rsidR="0002773C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实践教学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4254" w:rsidRDefault="009B4254" w:rsidP="008819A8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26</w:t>
            </w:r>
          </w:p>
        </w:tc>
      </w:tr>
      <w:tr w:rsidR="009B4254" w:rsidTr="009B4254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课外教学环节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实习、军训等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B4254" w:rsidRDefault="009B4254" w:rsidP="009B4254">
      <w:pPr>
        <w:pStyle w:val="a4"/>
        <w:widowControl/>
        <w:numPr>
          <w:ilvl w:val="0"/>
          <w:numId w:val="2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</w:p>
    <w:p w:rsidR="009B4254" w:rsidRDefault="009B4254" w:rsidP="009B4254">
      <w:pPr>
        <w:pStyle w:val="a4"/>
        <w:widowControl/>
        <w:numPr>
          <w:ilvl w:val="0"/>
          <w:numId w:val="2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课堂教学学时分配表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620"/>
        <w:gridCol w:w="1440"/>
        <w:gridCol w:w="1647"/>
        <w:gridCol w:w="1848"/>
      </w:tblGrid>
      <w:tr w:rsidR="009B4254" w:rsidTr="009B4254">
        <w:trPr>
          <w:cantSplit/>
          <w:trHeight w:val="454"/>
          <w:jc w:val="center"/>
        </w:trPr>
        <w:tc>
          <w:tcPr>
            <w:tcW w:w="18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门数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总学分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比例（%）</w:t>
            </w:r>
          </w:p>
        </w:tc>
      </w:tr>
      <w:tr w:rsidR="009B4254" w:rsidTr="009B4254">
        <w:trPr>
          <w:cantSplit/>
          <w:trHeight w:val="550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通识教育必修课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8B63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254" w:rsidRPr="00FE6B5A" w:rsidRDefault="009B4254" w:rsidP="008819A8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38</w:t>
            </w:r>
          </w:p>
        </w:tc>
      </w:tr>
      <w:tr w:rsidR="009B4254" w:rsidTr="009B4254">
        <w:trPr>
          <w:cantSplit/>
          <w:trHeight w:val="45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学科基础课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254" w:rsidRPr="00FE6B5A" w:rsidRDefault="009B4254" w:rsidP="008819A8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17</w:t>
            </w:r>
          </w:p>
        </w:tc>
      </w:tr>
      <w:tr w:rsidR="009B4254" w:rsidTr="009B4254">
        <w:trPr>
          <w:cantSplit/>
          <w:trHeight w:val="45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专业必修课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D757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D757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254" w:rsidRPr="00FE6B5A" w:rsidRDefault="009B4254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  <w:r w:rsidR="008819A8" w:rsidRPr="00FE6B5A"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D333EC" w:rsidTr="009B4254">
        <w:trPr>
          <w:cantSplit/>
          <w:trHeight w:val="45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33EC" w:rsidRDefault="00D333EC" w:rsidP="00D333EC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专业选修课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Default="00D757BF" w:rsidP="00D333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33EC" w:rsidRPr="00FE6B5A" w:rsidRDefault="00D333EC" w:rsidP="00D333EC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15</w:t>
            </w:r>
          </w:p>
        </w:tc>
      </w:tr>
      <w:tr w:rsidR="00D333EC" w:rsidTr="009B4254">
        <w:trPr>
          <w:cantSplit/>
          <w:trHeight w:val="45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33EC" w:rsidRDefault="00D333EC" w:rsidP="00D333EC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通识教育选修课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33EC" w:rsidRPr="00FE6B5A" w:rsidRDefault="00D333EC" w:rsidP="00D333EC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10</w:t>
            </w:r>
          </w:p>
        </w:tc>
      </w:tr>
      <w:tr w:rsidR="00D333EC" w:rsidTr="009B4254">
        <w:trPr>
          <w:cantSplit/>
          <w:trHeight w:val="45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33EC" w:rsidRDefault="00D333EC" w:rsidP="00D333EC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个性化课程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EC" w:rsidRPr="008819A8" w:rsidRDefault="00D333EC" w:rsidP="00D333E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33EC" w:rsidRPr="00FE6B5A" w:rsidRDefault="00D333EC" w:rsidP="00D333EC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D333EC" w:rsidTr="009B4254">
        <w:trPr>
          <w:cantSplit/>
          <w:trHeight w:val="45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D333EC" w:rsidRDefault="00D333EC" w:rsidP="00D333E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3EC" w:rsidRDefault="00D333EC" w:rsidP="00D333EC">
            <w:pPr>
              <w:jc w:val="center"/>
            </w:pPr>
            <w:r w:rsidRPr="00E37C3E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3EC" w:rsidRPr="00FE6B5A" w:rsidRDefault="008B6326" w:rsidP="00D333E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333EC" w:rsidRDefault="00D333EC" w:rsidP="00D333E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100</w:t>
            </w:r>
          </w:p>
        </w:tc>
      </w:tr>
    </w:tbl>
    <w:p w:rsidR="009B4254" w:rsidRPr="0099640B" w:rsidRDefault="009B4254" w:rsidP="0099640B">
      <w:pPr>
        <w:pStyle w:val="a4"/>
        <w:widowControl/>
        <w:numPr>
          <w:ilvl w:val="0"/>
          <w:numId w:val="2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 w:rsidRPr="0099640B">
        <w:rPr>
          <w:rFonts w:ascii="宋体" w:hAnsi="宋体" w:hint="eastAsia"/>
          <w:b/>
          <w:bCs/>
          <w:kern w:val="0"/>
          <w:sz w:val="24"/>
          <w:szCs w:val="32"/>
        </w:rPr>
        <w:t>实践教学环节一览表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552"/>
        <w:gridCol w:w="1126"/>
        <w:gridCol w:w="1191"/>
        <w:gridCol w:w="1092"/>
        <w:gridCol w:w="1087"/>
      </w:tblGrid>
      <w:tr w:rsidR="009B4254" w:rsidTr="009B4254">
        <w:trPr>
          <w:cantSplit/>
          <w:trHeight w:val="454"/>
          <w:jc w:val="center"/>
        </w:trPr>
        <w:tc>
          <w:tcPr>
            <w:tcW w:w="1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实践环节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学期安排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周数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</w:tc>
      </w:tr>
      <w:tr w:rsidR="009B4254" w:rsidTr="009B4254">
        <w:trPr>
          <w:cantSplit/>
          <w:trHeight w:val="454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实习类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军训（含军事理论课）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9B4254" w:rsidTr="0002773C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认知实习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9B4254" w:rsidTr="0002773C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专业实习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6/7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11</w:t>
            </w:r>
          </w:p>
        </w:tc>
      </w:tr>
      <w:tr w:rsidR="009B4254" w:rsidTr="0002773C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毕业实习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9B4254" w:rsidTr="0002773C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毕业论文（设计）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9B4254" w:rsidTr="009B4254">
        <w:trPr>
          <w:cantSplit/>
          <w:trHeight w:val="454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素质类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创新学分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9B4254" w:rsidTr="0002773C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第二课堂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9B4254" w:rsidTr="009B4254">
        <w:trPr>
          <w:cantSplit/>
          <w:trHeight w:val="454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思想政治类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思想道德修养与法律基础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9B4254" w:rsidTr="0002773C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毛泽东思想与中国特色社会主义理论体系概论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9B4254" w:rsidTr="0002773C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54" w:rsidRDefault="009B425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54" w:rsidRDefault="009B4254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马克思主义基本原理</w:t>
            </w:r>
            <w:r w:rsidR="009159E7">
              <w:rPr>
                <w:rFonts w:ascii="宋体" w:hAnsi="宋体" w:hint="eastAsia"/>
                <w:color w:val="000000"/>
                <w:szCs w:val="21"/>
              </w:rPr>
              <w:t>概论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254" w:rsidRPr="00FE6B5A" w:rsidRDefault="009B4254" w:rsidP="00FE6B5A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B6326" w:rsidTr="00EF43F1">
        <w:trPr>
          <w:cantSplit/>
          <w:trHeight w:val="454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326" w:rsidRDefault="008B6326" w:rsidP="008B632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计算机应用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B6326" w:rsidTr="00EF43F1">
        <w:trPr>
          <w:cantSplit/>
          <w:trHeight w:val="454"/>
          <w:jc w:val="center"/>
        </w:trPr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Default="008B6326" w:rsidP="008B63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数据库应用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B6326" w:rsidTr="008B6326">
        <w:trPr>
          <w:cantSplit/>
          <w:trHeight w:val="454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专业实验类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建筑工程评估基础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B6326" w:rsidTr="008A56C6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机电设备评估基础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B6326" w:rsidTr="008A56C6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企业价值评估与分析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B6326" w:rsidTr="008A56C6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价值评估实验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B6326" w:rsidTr="008A56C6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计算机在资产评估中的应用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8B6326" w:rsidTr="008A56C6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资产评估专业综合实验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8B6326" w:rsidTr="008A56C6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资产评估实务与案例分析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8B6326" w:rsidTr="008A56C6">
        <w:trPr>
          <w:cantSplit/>
          <w:trHeight w:val="454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企业经济行为模拟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color w:val="000000"/>
                <w:szCs w:val="21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color w:val="000000"/>
                <w:szCs w:val="21"/>
              </w:rPr>
            </w:pPr>
            <w:r w:rsidRPr="00FE6B5A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8B6326" w:rsidTr="008A56C6">
        <w:trPr>
          <w:cantSplit/>
          <w:trHeight w:val="454"/>
          <w:jc w:val="center"/>
        </w:trPr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326" w:rsidRDefault="008B6326" w:rsidP="008B632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b/>
                <w:color w:val="000000"/>
                <w:szCs w:val="21"/>
              </w:rPr>
            </w:pPr>
            <w:r w:rsidRPr="00FE6B5A">
              <w:rPr>
                <w:rFonts w:hint="eastAsia"/>
                <w:b/>
                <w:color w:val="000000"/>
                <w:szCs w:val="21"/>
              </w:rPr>
              <w:t>224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B6326" w:rsidRPr="00FE6B5A" w:rsidRDefault="008B6326" w:rsidP="008B6326">
            <w:pPr>
              <w:jc w:val="center"/>
              <w:rPr>
                <w:b/>
                <w:color w:val="000000"/>
                <w:szCs w:val="21"/>
              </w:rPr>
            </w:pPr>
            <w:r w:rsidRPr="00FE6B5A">
              <w:rPr>
                <w:rFonts w:hint="eastAsia"/>
                <w:b/>
                <w:color w:val="000000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Cs w:val="21"/>
              </w:rPr>
              <w:t>4</w:t>
            </w:r>
          </w:p>
        </w:tc>
      </w:tr>
    </w:tbl>
    <w:p w:rsidR="00A4373C" w:rsidRPr="00A4373C" w:rsidRDefault="009B4254" w:rsidP="008F788A">
      <w:pPr>
        <w:pStyle w:val="a4"/>
        <w:widowControl/>
        <w:spacing w:beforeLines="100" w:before="312" w:line="360" w:lineRule="auto"/>
        <w:ind w:left="420"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七、本科学分制指导性教学计划表</w:t>
      </w:r>
    </w:p>
    <w:sectPr w:rsidR="00A4373C" w:rsidRPr="00A4373C" w:rsidSect="0092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E6" w:rsidRDefault="00E81CE6" w:rsidP="003A2EBF">
      <w:r>
        <w:separator/>
      </w:r>
    </w:p>
  </w:endnote>
  <w:endnote w:type="continuationSeparator" w:id="0">
    <w:p w:rsidR="00E81CE6" w:rsidRDefault="00E81CE6" w:rsidP="003A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E6" w:rsidRDefault="00E81CE6" w:rsidP="003A2EBF">
      <w:r>
        <w:separator/>
      </w:r>
    </w:p>
  </w:footnote>
  <w:footnote w:type="continuationSeparator" w:id="0">
    <w:p w:rsidR="00E81CE6" w:rsidRDefault="00E81CE6" w:rsidP="003A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420" w:hanging="420"/>
      </w:pPr>
      <w:rPr>
        <w:b/>
      </w:rPr>
    </w:lvl>
    <w:lvl w:ilvl="1">
      <w:start w:val="1"/>
      <w:numFmt w:val="chineseCountingThousand"/>
      <w:lvlText w:val="%2、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856D21"/>
    <w:multiLevelType w:val="hybridMultilevel"/>
    <w:tmpl w:val="3F9EE028"/>
    <w:lvl w:ilvl="0" w:tplc="EF540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75842A2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93CA4ACA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79B20502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7C2E542A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57F6137A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B372AFA8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5FCC6B68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F1FCF4DA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D5E"/>
    <w:rsid w:val="0002773C"/>
    <w:rsid w:val="00035907"/>
    <w:rsid w:val="000673D0"/>
    <w:rsid w:val="00081CD0"/>
    <w:rsid w:val="00082A1C"/>
    <w:rsid w:val="000D7586"/>
    <w:rsid w:val="00130472"/>
    <w:rsid w:val="00132656"/>
    <w:rsid w:val="00134EB2"/>
    <w:rsid w:val="001461C4"/>
    <w:rsid w:val="00156DF0"/>
    <w:rsid w:val="001C59F1"/>
    <w:rsid w:val="001F6DC8"/>
    <w:rsid w:val="00204C0F"/>
    <w:rsid w:val="0020503E"/>
    <w:rsid w:val="00213E37"/>
    <w:rsid w:val="002143D2"/>
    <w:rsid w:val="00261A76"/>
    <w:rsid w:val="002B6902"/>
    <w:rsid w:val="002C3E66"/>
    <w:rsid w:val="00301E8D"/>
    <w:rsid w:val="0033239E"/>
    <w:rsid w:val="00346833"/>
    <w:rsid w:val="003477D8"/>
    <w:rsid w:val="0036169E"/>
    <w:rsid w:val="00371A78"/>
    <w:rsid w:val="003A2EBF"/>
    <w:rsid w:val="003A4857"/>
    <w:rsid w:val="004205A1"/>
    <w:rsid w:val="00433D1D"/>
    <w:rsid w:val="004433A5"/>
    <w:rsid w:val="00456C0E"/>
    <w:rsid w:val="00523670"/>
    <w:rsid w:val="00536B0E"/>
    <w:rsid w:val="005D414A"/>
    <w:rsid w:val="005E64E8"/>
    <w:rsid w:val="0060343D"/>
    <w:rsid w:val="00621BAE"/>
    <w:rsid w:val="00627D09"/>
    <w:rsid w:val="0066308E"/>
    <w:rsid w:val="00677F2C"/>
    <w:rsid w:val="006B1D2E"/>
    <w:rsid w:val="006B7901"/>
    <w:rsid w:val="006E51A0"/>
    <w:rsid w:val="00741573"/>
    <w:rsid w:val="00762540"/>
    <w:rsid w:val="00762722"/>
    <w:rsid w:val="00775D41"/>
    <w:rsid w:val="00781E5F"/>
    <w:rsid w:val="00786ECC"/>
    <w:rsid w:val="007A50D5"/>
    <w:rsid w:val="007F08F6"/>
    <w:rsid w:val="008601F7"/>
    <w:rsid w:val="00865F66"/>
    <w:rsid w:val="00867055"/>
    <w:rsid w:val="008738F6"/>
    <w:rsid w:val="008819A8"/>
    <w:rsid w:val="008A3EE5"/>
    <w:rsid w:val="008A56C6"/>
    <w:rsid w:val="008B2B74"/>
    <w:rsid w:val="008B6326"/>
    <w:rsid w:val="008C0017"/>
    <w:rsid w:val="008F788A"/>
    <w:rsid w:val="009159E7"/>
    <w:rsid w:val="00916945"/>
    <w:rsid w:val="00923E8B"/>
    <w:rsid w:val="00930BEE"/>
    <w:rsid w:val="00940781"/>
    <w:rsid w:val="00945FDE"/>
    <w:rsid w:val="00952603"/>
    <w:rsid w:val="00963F6B"/>
    <w:rsid w:val="00986940"/>
    <w:rsid w:val="009942BF"/>
    <w:rsid w:val="0099640B"/>
    <w:rsid w:val="0099647F"/>
    <w:rsid w:val="009B4254"/>
    <w:rsid w:val="009B6385"/>
    <w:rsid w:val="00A36B75"/>
    <w:rsid w:val="00A40EA4"/>
    <w:rsid w:val="00A4373C"/>
    <w:rsid w:val="00A464C0"/>
    <w:rsid w:val="00A72E6D"/>
    <w:rsid w:val="00A769DD"/>
    <w:rsid w:val="00AE3F69"/>
    <w:rsid w:val="00B109EC"/>
    <w:rsid w:val="00B229B6"/>
    <w:rsid w:val="00B91572"/>
    <w:rsid w:val="00BA1400"/>
    <w:rsid w:val="00BD58C8"/>
    <w:rsid w:val="00C124BD"/>
    <w:rsid w:val="00C35D15"/>
    <w:rsid w:val="00C94DE1"/>
    <w:rsid w:val="00CC52E9"/>
    <w:rsid w:val="00CD46A2"/>
    <w:rsid w:val="00D333EC"/>
    <w:rsid w:val="00D4178A"/>
    <w:rsid w:val="00D440DD"/>
    <w:rsid w:val="00D45835"/>
    <w:rsid w:val="00D566C7"/>
    <w:rsid w:val="00D757BF"/>
    <w:rsid w:val="00D8681D"/>
    <w:rsid w:val="00DC6601"/>
    <w:rsid w:val="00DC6D9D"/>
    <w:rsid w:val="00E12447"/>
    <w:rsid w:val="00E167A5"/>
    <w:rsid w:val="00E81CE6"/>
    <w:rsid w:val="00EB3BE8"/>
    <w:rsid w:val="00EC2BA4"/>
    <w:rsid w:val="00ED7CB6"/>
    <w:rsid w:val="00F20C26"/>
    <w:rsid w:val="00F30245"/>
    <w:rsid w:val="00FC6063"/>
    <w:rsid w:val="00FE6B5A"/>
    <w:rsid w:val="00FF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F4A4A"/>
  <w15:docId w15:val="{F0FF53F2-C6F5-44C9-B2C9-A9C1B30B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4373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7D5E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qFormat/>
    <w:rsid w:val="00FF7D5E"/>
    <w:pPr>
      <w:ind w:firstLineChars="200" w:firstLine="42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3A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2EB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2EBF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A437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0"/>
    <w:semiHidden/>
    <w:unhideWhenUsed/>
    <w:rsid w:val="00A4373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uiPriority w:val="99"/>
    <w:semiHidden/>
    <w:rsid w:val="00A4373C"/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semiHidden/>
    <w:locked/>
    <w:rsid w:val="00A4373C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33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33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1642</Characters>
  <Application>Microsoft Office Word</Application>
  <DocSecurity>0</DocSecurity>
  <Lines>13</Lines>
  <Paragraphs>3</Paragraphs>
  <ScaleCrop>false</ScaleCrop>
  <Company>China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HM</cp:lastModifiedBy>
  <cp:revision>13</cp:revision>
  <cp:lastPrinted>2017-05-15T07:22:00Z</cp:lastPrinted>
  <dcterms:created xsi:type="dcterms:W3CDTF">2017-05-15T07:18:00Z</dcterms:created>
  <dcterms:modified xsi:type="dcterms:W3CDTF">2018-04-10T12:19:00Z</dcterms:modified>
</cp:coreProperties>
</file>